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B101A">
      <w:pPr>
        <w:spacing w:before="480" w:after="480" w:line="288" w:lineRule="auto"/>
        <w:ind w:left="0"/>
      </w:pPr>
      <w:r>
        <w:rPr>
          <w:rFonts w:ascii="Arial" w:hAnsi="Arial" w:eastAsia="等线" w:cs="Arial"/>
          <w:b/>
          <w:sz w:val="52"/>
        </w:rPr>
        <w:t>Referral Decision-Making Ability Rating Scale (RDM-ARS)</w:t>
      </w:r>
    </w:p>
    <w:p w14:paraId="0E2D34F5">
      <w:pPr>
        <w:spacing w:before="120" w:after="120" w:line="288" w:lineRule="auto"/>
        <w:ind w:left="0"/>
        <w:jc w:val="left"/>
      </w:pPr>
      <w:r>
        <w:rPr>
          <w:rFonts w:ascii="Arial" w:hAnsi="Arial" w:eastAsia="等线" w:cs="Arial"/>
          <w:b/>
          <w:sz w:val="22"/>
        </w:rPr>
        <w:t>Applicable Objects</w:t>
      </w:r>
      <w:r>
        <w:rPr>
          <w:rFonts w:ascii="Arial" w:hAnsi="Arial" w:eastAsia="等线" w:cs="Arial"/>
          <w:sz w:val="22"/>
        </w:rPr>
        <w:t>: General practice students, standardized training residents in general practice (used to evaluate their judgment ability in primary care referral, including referral indications, referral timing, and interdisciplinary coordination)</w:t>
      </w:r>
    </w:p>
    <w:p w14:paraId="17769DC1">
      <w:pPr>
        <w:spacing w:before="120" w:after="120" w:line="288" w:lineRule="auto"/>
        <w:ind w:left="0"/>
        <w:jc w:val="left"/>
      </w:pPr>
      <w:r>
        <w:rPr>
          <w:rFonts w:ascii="Arial" w:hAnsi="Arial" w:eastAsia="等线" w:cs="Arial"/>
          <w:b/>
          <w:sz w:val="22"/>
        </w:rPr>
        <w:t>Scoring Instructions</w:t>
      </w:r>
      <w:r>
        <w:rPr>
          <w:rFonts w:ascii="Arial" w:hAnsi="Arial" w:eastAsia="等线" w:cs="Arial"/>
          <w:sz w:val="22"/>
        </w:rPr>
        <w:t>: This scale is designed to assess students' judgment ability in primary care referral, focusing on three core competencies: identification of referral indications, grasp of referral timing, and interdisciplinary coordination. The total score is 100 points, divided into 5 evaluation dimensions with reasonable score allocation. The scoring adopts a hierarchical system, and the higher the score, the stronger the student's referral decision-making ability. The scoring shall be objectively determined based on the student's performance in case analysis, referral decision judgment, and thinking expression, combined with the characteristics of primary care referral standards and clinical practice.</w:t>
      </w:r>
    </w:p>
    <w:p w14:paraId="5A29771D">
      <w:pPr>
        <w:spacing w:before="120" w:after="120" w:line="288" w:lineRule="auto"/>
        <w:ind w:left="0"/>
        <w:jc w:val="left"/>
      </w:pPr>
      <w:r>
        <w:rPr>
          <w:rFonts w:ascii="Arial" w:hAnsi="Arial" w:eastAsia="等线" w:cs="Arial"/>
          <w:b/>
          <w:sz w:val="22"/>
        </w:rPr>
        <w:t>Definition of Scoring Levels</w:t>
      </w:r>
      <w:r>
        <w:rPr>
          <w:rFonts w:ascii="Arial" w:hAnsi="Arial" w:eastAsia="等线" w:cs="Arial"/>
          <w:sz w:val="22"/>
        </w:rPr>
        <w:t>: 0-20% of the dimension score (Poor): No correct understanding of referral-related knowledge, serious deviations in judgment, unable to meet basic primary care referral requirements; 21%-40% (Fair): Weak understanding of referral knowledge, incomplete consideration of core links, obvious errors in judgment; 41%-60% (Average): Basic understanding of referral knowledge, able to grasp key referral links, with certain rationality but insufficient accuracy; 61%-80% (Good): Clear understanding of referral knowledge, comprehensive consideration of core links, in line with primary care referral standards, with slight optimization space; 81%-100% (Excellent): Systematic and in-depth understanding of referral knowledge, rigorous judgment logic, fully consistent with primary care referral principles, able to flexibly handle complex referral scenarios.</w:t>
      </w:r>
    </w:p>
    <w:tbl>
      <w:tblPr>
        <w:tblStyle w:val="2"/>
        <w:tblW w:w="8521" w:type="dxa"/>
        <w:jc w:val="center"/>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2290"/>
        <w:gridCol w:w="1365"/>
        <w:gridCol w:w="2441"/>
        <w:gridCol w:w="852"/>
        <w:gridCol w:w="1573"/>
      </w:tblGrid>
      <w:tr w14:paraId="4E8A168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tblHeader/>
          <w:jc w:val="center"/>
        </w:trPr>
        <w:tc>
          <w:tcPr>
            <w:tcW w:w="2311" w:type="dxa"/>
            <w:tcBorders>
              <w:top w:val="single" w:color="auto" w:sz="4" w:space="0"/>
              <w:bottom w:val="single" w:color="auto" w:sz="4" w:space="0"/>
            </w:tcBorders>
            <w:tcMar>
              <w:top w:w="60" w:type="dxa"/>
              <w:left w:w="120" w:type="dxa"/>
              <w:bottom w:w="30" w:type="dxa"/>
              <w:right w:w="120" w:type="dxa"/>
            </w:tcMar>
            <w:vAlign w:val="center"/>
          </w:tcPr>
          <w:p w14:paraId="1F0B54FD">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Evaluation Dimensions</w:t>
            </w:r>
          </w:p>
        </w:tc>
        <w:tc>
          <w:tcPr>
            <w:tcW w:w="1327" w:type="dxa"/>
            <w:tcBorders>
              <w:top w:val="single" w:color="auto" w:sz="4" w:space="0"/>
              <w:bottom w:val="single" w:color="auto" w:sz="4" w:space="0"/>
            </w:tcBorders>
            <w:tcMar>
              <w:top w:w="60" w:type="dxa"/>
              <w:left w:w="120" w:type="dxa"/>
              <w:bottom w:w="30" w:type="dxa"/>
              <w:right w:w="120" w:type="dxa"/>
            </w:tcMar>
            <w:vAlign w:val="center"/>
          </w:tcPr>
          <w:p w14:paraId="4CC7FFDF">
            <w:pPr>
              <w:keepNext/>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Dimension Score </w:t>
            </w:r>
          </w:p>
          <w:p w14:paraId="23BA7AD3">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(Total 100 points)</w:t>
            </w:r>
          </w:p>
        </w:tc>
        <w:tc>
          <w:tcPr>
            <w:tcW w:w="2474" w:type="dxa"/>
            <w:tcBorders>
              <w:top w:val="single" w:color="auto" w:sz="4" w:space="0"/>
              <w:bottom w:val="single" w:color="auto" w:sz="4" w:space="0"/>
            </w:tcBorders>
            <w:tcMar>
              <w:top w:w="60" w:type="dxa"/>
              <w:left w:w="120" w:type="dxa"/>
              <w:bottom w:w="30" w:type="dxa"/>
              <w:right w:w="120" w:type="dxa"/>
            </w:tcMar>
            <w:vAlign w:val="center"/>
          </w:tcPr>
          <w:p w14:paraId="7582620C">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Scoring Standards</w:t>
            </w:r>
          </w:p>
        </w:tc>
        <w:tc>
          <w:tcPr>
            <w:tcW w:w="848" w:type="dxa"/>
            <w:tcBorders>
              <w:top w:val="single" w:color="auto" w:sz="4" w:space="0"/>
              <w:bottom w:val="single" w:color="auto" w:sz="4" w:space="0"/>
            </w:tcBorders>
            <w:tcMar>
              <w:top w:w="60" w:type="dxa"/>
              <w:left w:w="120" w:type="dxa"/>
              <w:bottom w:w="30" w:type="dxa"/>
              <w:right w:w="120" w:type="dxa"/>
            </w:tcMar>
            <w:vAlign w:val="center"/>
          </w:tcPr>
          <w:p w14:paraId="50D76870">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Score</w:t>
            </w:r>
          </w:p>
        </w:tc>
        <w:tc>
          <w:tcPr>
            <w:tcW w:w="1564" w:type="dxa"/>
            <w:tcBorders>
              <w:top w:val="single" w:color="auto" w:sz="4" w:space="0"/>
              <w:bottom w:val="single" w:color="auto" w:sz="4" w:space="0"/>
            </w:tcBorders>
            <w:tcMar>
              <w:top w:w="60" w:type="dxa"/>
              <w:left w:w="120" w:type="dxa"/>
              <w:bottom w:w="30" w:type="dxa"/>
              <w:right w:w="120" w:type="dxa"/>
            </w:tcMar>
            <w:vAlign w:val="center"/>
          </w:tcPr>
          <w:p w14:paraId="032AF677">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Remarks (Specific decision-making performance can be recorded)</w:t>
            </w:r>
          </w:p>
        </w:tc>
      </w:tr>
      <w:tr w14:paraId="56CF93F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311" w:type="dxa"/>
            <w:tcBorders>
              <w:top w:val="single" w:color="auto" w:sz="4" w:space="0"/>
            </w:tcBorders>
            <w:tcMar>
              <w:top w:w="60" w:type="dxa"/>
              <w:left w:w="120" w:type="dxa"/>
              <w:bottom w:w="30" w:type="dxa"/>
              <w:right w:w="120" w:type="dxa"/>
            </w:tcMar>
            <w:vAlign w:val="center"/>
          </w:tcPr>
          <w:p w14:paraId="420FE638">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 Referral Indication Judgment (35 points)</w:t>
            </w:r>
            <w:r>
              <w:rPr>
                <w:rFonts w:ascii="Arial" w:hAnsi="Arial" w:eastAsia="等线" w:cs="Arial"/>
                <w:sz w:val="22"/>
              </w:rPr>
              <w:t>(Core: Ability to accurately identify primary care referral indications, distinguish between referral and non-referral scenarios, and grasp the boundary of primary care diagnosis and treatment)</w:t>
            </w:r>
          </w:p>
        </w:tc>
        <w:tc>
          <w:tcPr>
            <w:tcW w:w="1327" w:type="dxa"/>
            <w:tcBorders>
              <w:top w:val="single" w:color="auto" w:sz="4" w:space="0"/>
            </w:tcBorders>
            <w:tcMar>
              <w:top w:w="60" w:type="dxa"/>
              <w:left w:w="120" w:type="dxa"/>
              <w:bottom w:w="30" w:type="dxa"/>
              <w:right w:w="120" w:type="dxa"/>
            </w:tcMar>
            <w:vAlign w:val="center"/>
          </w:tcPr>
          <w:p w14:paraId="5AA1A861">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35</w:t>
            </w:r>
          </w:p>
        </w:tc>
        <w:tc>
          <w:tcPr>
            <w:tcW w:w="2474" w:type="dxa"/>
            <w:tcBorders>
              <w:top w:val="single" w:color="auto" w:sz="4" w:space="0"/>
            </w:tcBorders>
            <w:tcMar>
              <w:top w:w="60" w:type="dxa"/>
              <w:left w:w="120" w:type="dxa"/>
              <w:bottom w:w="30" w:type="dxa"/>
              <w:right w:w="120" w:type="dxa"/>
            </w:tcMar>
            <w:vAlign w:val="center"/>
          </w:tcPr>
          <w:p w14:paraId="44F3B330">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0-7 points: Unable to identify basic referral indications, confuse referral and non-referral scenarios, and make serious misjudgments; 8-14 points: Can identify a small number of typical referral indications, but has obvious omissions or misjudgments in boundary grasp; 15-21 points: Can identify main referral indications, basically grasp the boundary of primary care diagnosis and treatment, with slight misjudgments; 22-28 points: Can comprehensively identify referral indications, accurately grasp the boundary of primary care diagnosis and treatment, and make basically correct judgments; 29-35 points: Can systematically and accurately identify referral indications, flexibly grasp the boundary of primary care diagnosis and treatment, and make scientific judgments for complex scenarios (such as comorbidities, acute exacerbation of chronic diseases).</w:t>
            </w:r>
          </w:p>
        </w:tc>
        <w:tc>
          <w:tcPr>
            <w:tcW w:w="848" w:type="dxa"/>
            <w:tcBorders>
              <w:top w:val="single" w:color="auto" w:sz="4" w:space="0"/>
            </w:tcBorders>
            <w:tcMar>
              <w:top w:w="60" w:type="dxa"/>
              <w:left w:w="120" w:type="dxa"/>
              <w:bottom w:w="30" w:type="dxa"/>
              <w:right w:w="120" w:type="dxa"/>
            </w:tcMar>
            <w:vAlign w:val="center"/>
          </w:tcPr>
          <w:p w14:paraId="61D74B0E">
            <w:pPr>
              <w:keepNext/>
              <w:snapToGrid w:val="0"/>
              <w:spacing w:before="120" w:after="120" w:line="240" w:lineRule="auto"/>
              <w:ind w:left="0" w:leftChars="0" w:right="0" w:rightChars="0" w:firstLine="0" w:firstLineChars="0"/>
              <w:jc w:val="center"/>
              <w:rPr>
                <w:rFonts w:ascii="Arial" w:eastAsia="等线"/>
                <w:sz w:val="22"/>
              </w:rPr>
            </w:pPr>
          </w:p>
        </w:tc>
        <w:tc>
          <w:tcPr>
            <w:tcW w:w="1564" w:type="dxa"/>
            <w:tcBorders>
              <w:top w:val="single" w:color="auto" w:sz="4" w:space="0"/>
            </w:tcBorders>
            <w:tcMar>
              <w:top w:w="60" w:type="dxa"/>
              <w:left w:w="120" w:type="dxa"/>
              <w:bottom w:w="30" w:type="dxa"/>
              <w:right w:w="120" w:type="dxa"/>
            </w:tcMar>
            <w:vAlign w:val="center"/>
          </w:tcPr>
          <w:p w14:paraId="4BDC4817">
            <w:pPr>
              <w:keepNext/>
              <w:snapToGrid w:val="0"/>
              <w:spacing w:before="120" w:after="120" w:line="240" w:lineRule="auto"/>
              <w:ind w:left="0" w:leftChars="0" w:right="0" w:rightChars="0" w:firstLine="0" w:firstLineChars="0"/>
              <w:jc w:val="center"/>
              <w:rPr>
                <w:rFonts w:ascii="Arial" w:eastAsia="等线"/>
                <w:sz w:val="22"/>
              </w:rPr>
            </w:pPr>
          </w:p>
        </w:tc>
      </w:tr>
      <w:tr w14:paraId="740290B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311" w:type="dxa"/>
            <w:tcMar>
              <w:top w:w="60" w:type="dxa"/>
              <w:left w:w="120" w:type="dxa"/>
              <w:bottom w:w="30" w:type="dxa"/>
              <w:right w:w="120" w:type="dxa"/>
            </w:tcMar>
            <w:vAlign w:val="center"/>
          </w:tcPr>
          <w:p w14:paraId="49EBE3AA">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II. Referral Timing Grasp (30 points)</w:t>
            </w:r>
            <w:r>
              <w:rPr>
                <w:rFonts w:ascii="Arial" w:hAnsi="Arial" w:eastAsia="等线" w:cs="Arial"/>
                <w:sz w:val="22"/>
              </w:rPr>
              <w:t>(Core: Ability to accurately judge the appropriate referral timing, avoid premature or delayed referral, and ensure the safety and effectiveness of patient treatment)</w:t>
            </w:r>
          </w:p>
        </w:tc>
        <w:tc>
          <w:tcPr>
            <w:tcW w:w="1327" w:type="dxa"/>
            <w:tcMar>
              <w:top w:w="60" w:type="dxa"/>
              <w:left w:w="120" w:type="dxa"/>
              <w:bottom w:w="30" w:type="dxa"/>
              <w:right w:w="120" w:type="dxa"/>
            </w:tcMar>
            <w:vAlign w:val="center"/>
          </w:tcPr>
          <w:p w14:paraId="6FA3539B">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30</w:t>
            </w:r>
          </w:p>
        </w:tc>
        <w:tc>
          <w:tcPr>
            <w:tcW w:w="2474" w:type="dxa"/>
            <w:tcMar>
              <w:top w:w="60" w:type="dxa"/>
              <w:left w:w="120" w:type="dxa"/>
              <w:bottom w:w="30" w:type="dxa"/>
              <w:right w:w="120" w:type="dxa"/>
            </w:tcMar>
            <w:vAlign w:val="center"/>
          </w:tcPr>
          <w:p w14:paraId="5CA25E6D">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0-6 points: Unable to judge the referral timing, resulting in serious premature or delayed referral, which may affect patient safety; 7-12 points: Basic awareness of referral timing, but there are obvious errors in judgment, with the risk of premature or delayed referral; 13-18 points: Can judge the appropriate referral timing for common scenarios, basically avoid premature or delayed referral, with slight deficiencies; 19-24 points: Can accurately judge the referral timing for most scenarios, effectively avoid premature or delayed referral, and consider the patient's condition changes; 25-30 points: Can flexibly judge the referral timing for complex scenarios, accurately grasp the best referral window, and combine the patient's condition, primary care conditions and other factors to make optimal decisions.</w:t>
            </w:r>
          </w:p>
        </w:tc>
        <w:tc>
          <w:tcPr>
            <w:tcW w:w="848" w:type="dxa"/>
            <w:tcMar>
              <w:top w:w="60" w:type="dxa"/>
              <w:left w:w="120" w:type="dxa"/>
              <w:bottom w:w="30" w:type="dxa"/>
              <w:right w:w="120" w:type="dxa"/>
            </w:tcMar>
            <w:vAlign w:val="center"/>
          </w:tcPr>
          <w:p w14:paraId="28C4D3BD">
            <w:pPr>
              <w:keepNext/>
              <w:snapToGrid w:val="0"/>
              <w:spacing w:before="120" w:after="120" w:line="240" w:lineRule="auto"/>
              <w:ind w:left="0" w:leftChars="0" w:right="0" w:rightChars="0" w:firstLine="0" w:firstLineChars="0"/>
              <w:jc w:val="center"/>
              <w:rPr>
                <w:rFonts w:ascii="Arial" w:eastAsia="等线"/>
                <w:sz w:val="22"/>
              </w:rPr>
            </w:pPr>
          </w:p>
        </w:tc>
        <w:tc>
          <w:tcPr>
            <w:tcW w:w="1564" w:type="dxa"/>
            <w:tcMar>
              <w:top w:w="60" w:type="dxa"/>
              <w:left w:w="120" w:type="dxa"/>
              <w:bottom w:w="30" w:type="dxa"/>
              <w:right w:w="120" w:type="dxa"/>
            </w:tcMar>
            <w:vAlign w:val="center"/>
          </w:tcPr>
          <w:p w14:paraId="4215BE8F">
            <w:pPr>
              <w:keepNext/>
              <w:snapToGrid w:val="0"/>
              <w:spacing w:before="120" w:after="120" w:line="240" w:lineRule="auto"/>
              <w:ind w:left="0" w:leftChars="0" w:right="0" w:rightChars="0" w:firstLine="0" w:firstLineChars="0"/>
              <w:jc w:val="center"/>
              <w:rPr>
                <w:rFonts w:ascii="Arial" w:eastAsia="等线"/>
                <w:sz w:val="22"/>
              </w:rPr>
            </w:pPr>
          </w:p>
        </w:tc>
      </w:tr>
      <w:tr w14:paraId="7EA7449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311" w:type="dxa"/>
            <w:tcMar>
              <w:top w:w="60" w:type="dxa"/>
              <w:left w:w="120" w:type="dxa"/>
              <w:bottom w:w="30" w:type="dxa"/>
              <w:right w:w="120" w:type="dxa"/>
            </w:tcMar>
            <w:vAlign w:val="center"/>
          </w:tcPr>
          <w:p w14:paraId="40959D56">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III. Interdisciplinary Coordination Ability (20 points)</w:t>
            </w:r>
            <w:r>
              <w:rPr>
                <w:rFonts w:ascii="Arial" w:hAnsi="Arial" w:eastAsia="等线" w:cs="Arial"/>
                <w:sz w:val="22"/>
              </w:rPr>
              <w:t>(Core: Ability to coordinate with superior hospitals, specialist departments, and community health services, and ensure the smooth connection of referral processes)</w:t>
            </w:r>
          </w:p>
        </w:tc>
        <w:tc>
          <w:tcPr>
            <w:tcW w:w="1327" w:type="dxa"/>
            <w:tcMar>
              <w:top w:w="60" w:type="dxa"/>
              <w:left w:w="120" w:type="dxa"/>
              <w:bottom w:w="30" w:type="dxa"/>
              <w:right w:w="120" w:type="dxa"/>
            </w:tcMar>
            <w:vAlign w:val="center"/>
          </w:tcPr>
          <w:p w14:paraId="24FB1D67">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20</w:t>
            </w:r>
          </w:p>
        </w:tc>
        <w:tc>
          <w:tcPr>
            <w:tcW w:w="2474" w:type="dxa"/>
            <w:tcMar>
              <w:top w:w="60" w:type="dxa"/>
              <w:left w:w="120" w:type="dxa"/>
              <w:bottom w:w="30" w:type="dxa"/>
              <w:right w:w="120" w:type="dxa"/>
            </w:tcMar>
            <w:vAlign w:val="center"/>
          </w:tcPr>
          <w:p w14:paraId="36147CB0">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0-4 points: No awareness of interdisciplinary coordination, unable to carry out basic referral connection work; 5-8 points: Basic awareness of interdisciplinary coordination, but unable to effectively communicate and connect with relevant departments; 9-12 points: Can carry out basic interdisciplinary coordination work, complete simple referral connection, with certain deficiencies in efficiency; 13-16 points: Can effectively coordinate with relevant departments, smoothly complete the referral connection process, and timely feedback the patient's information; 17-20 points: Can flexibly carry out interdisciplinary coordination, establish effective communication channels with superior hospitals and specialist departments, ensure the continuity of patient treatment, and properly handle unexpected problems in the referral process.</w:t>
            </w:r>
          </w:p>
        </w:tc>
        <w:tc>
          <w:tcPr>
            <w:tcW w:w="848" w:type="dxa"/>
            <w:tcMar>
              <w:top w:w="60" w:type="dxa"/>
              <w:left w:w="120" w:type="dxa"/>
              <w:bottom w:w="30" w:type="dxa"/>
              <w:right w:w="120" w:type="dxa"/>
            </w:tcMar>
            <w:vAlign w:val="center"/>
          </w:tcPr>
          <w:p w14:paraId="53F6C265">
            <w:pPr>
              <w:keepNext/>
              <w:snapToGrid w:val="0"/>
              <w:spacing w:before="120" w:after="120" w:line="240" w:lineRule="auto"/>
              <w:ind w:left="0" w:leftChars="0" w:right="0" w:rightChars="0" w:firstLine="0" w:firstLineChars="0"/>
              <w:jc w:val="center"/>
              <w:rPr>
                <w:rFonts w:ascii="Arial" w:eastAsia="等线"/>
                <w:sz w:val="22"/>
              </w:rPr>
            </w:pPr>
          </w:p>
        </w:tc>
        <w:tc>
          <w:tcPr>
            <w:tcW w:w="1564" w:type="dxa"/>
            <w:tcMar>
              <w:top w:w="60" w:type="dxa"/>
              <w:left w:w="120" w:type="dxa"/>
              <w:bottom w:w="30" w:type="dxa"/>
              <w:right w:w="120" w:type="dxa"/>
            </w:tcMar>
            <w:vAlign w:val="center"/>
          </w:tcPr>
          <w:p w14:paraId="10CF6D1F">
            <w:pPr>
              <w:keepNext/>
              <w:snapToGrid w:val="0"/>
              <w:spacing w:before="120" w:after="120" w:line="240" w:lineRule="auto"/>
              <w:ind w:left="0" w:leftChars="0" w:right="0" w:rightChars="0" w:firstLine="0" w:firstLineChars="0"/>
              <w:jc w:val="center"/>
              <w:rPr>
                <w:rFonts w:ascii="Arial" w:eastAsia="等线"/>
                <w:sz w:val="22"/>
              </w:rPr>
            </w:pPr>
          </w:p>
        </w:tc>
      </w:tr>
      <w:tr w14:paraId="0C2AD52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311" w:type="dxa"/>
            <w:tcMar>
              <w:top w:w="60" w:type="dxa"/>
              <w:left w:w="120" w:type="dxa"/>
              <w:bottom w:w="30" w:type="dxa"/>
              <w:right w:w="120" w:type="dxa"/>
            </w:tcMar>
            <w:vAlign w:val="center"/>
          </w:tcPr>
          <w:p w14:paraId="51019C23">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IV. Referral Standardization (10 points)</w:t>
            </w:r>
            <w:r>
              <w:rPr>
                <w:rFonts w:ascii="Arial" w:hAnsi="Arial" w:eastAsia="等线" w:cs="Arial"/>
                <w:sz w:val="22"/>
              </w:rPr>
              <w:t>(Core: Ability to standardize the completion of referral records, clarify referral reasons and preliminary diagnosis and treatment opinions)</w:t>
            </w:r>
          </w:p>
        </w:tc>
        <w:tc>
          <w:tcPr>
            <w:tcW w:w="1327" w:type="dxa"/>
            <w:tcMar>
              <w:top w:w="60" w:type="dxa"/>
              <w:left w:w="120" w:type="dxa"/>
              <w:bottom w:w="30" w:type="dxa"/>
              <w:right w:w="120" w:type="dxa"/>
            </w:tcMar>
            <w:vAlign w:val="center"/>
          </w:tcPr>
          <w:p w14:paraId="22A50600">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10</w:t>
            </w:r>
          </w:p>
        </w:tc>
        <w:tc>
          <w:tcPr>
            <w:tcW w:w="2474" w:type="dxa"/>
            <w:tcMar>
              <w:top w:w="60" w:type="dxa"/>
              <w:left w:w="120" w:type="dxa"/>
              <w:bottom w:w="30" w:type="dxa"/>
              <w:right w:w="120" w:type="dxa"/>
            </w:tcMar>
            <w:vAlign w:val="center"/>
          </w:tcPr>
          <w:p w14:paraId="7E606DCC">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0-2 points: Unable to complete referral records, or the records are incomplete and irrelevant; 3-4 points: Can complete basic referral records, but the content is incomplete, and the referral reasons are not clear; 5-6 points: Can complete standardized referral records, clarify the main referral reasons and preliminary diagnosis and treatment opinions, with slight omissions; 7-8 points: Can complete comprehensive and standardized referral records, clearly and accurately describe the referral reasons, preliminary diagnosis and treatment opinions, and patient's condition; 9-10 points: Can complete detailed and standardized referral records, comprehensively record the patient's condition, diagnosis and treatment process, referral reasons and follow-up suggestions, which is conducive to the smooth connection of subsequent diagnosis and treatment.</w:t>
            </w:r>
          </w:p>
        </w:tc>
        <w:tc>
          <w:tcPr>
            <w:tcW w:w="848" w:type="dxa"/>
            <w:tcMar>
              <w:top w:w="60" w:type="dxa"/>
              <w:left w:w="120" w:type="dxa"/>
              <w:bottom w:w="30" w:type="dxa"/>
              <w:right w:w="120" w:type="dxa"/>
            </w:tcMar>
            <w:vAlign w:val="center"/>
          </w:tcPr>
          <w:p w14:paraId="14E05063">
            <w:pPr>
              <w:keepNext/>
              <w:snapToGrid w:val="0"/>
              <w:spacing w:before="120" w:after="120" w:line="240" w:lineRule="auto"/>
              <w:ind w:left="0" w:leftChars="0" w:right="0" w:rightChars="0" w:firstLine="0" w:firstLineChars="0"/>
              <w:jc w:val="center"/>
              <w:rPr>
                <w:rFonts w:ascii="Arial" w:eastAsia="等线"/>
                <w:sz w:val="22"/>
              </w:rPr>
            </w:pPr>
          </w:p>
        </w:tc>
        <w:tc>
          <w:tcPr>
            <w:tcW w:w="1564" w:type="dxa"/>
            <w:tcMar>
              <w:top w:w="60" w:type="dxa"/>
              <w:left w:w="120" w:type="dxa"/>
              <w:bottom w:w="30" w:type="dxa"/>
              <w:right w:w="120" w:type="dxa"/>
            </w:tcMar>
            <w:vAlign w:val="center"/>
          </w:tcPr>
          <w:p w14:paraId="57E309AE">
            <w:pPr>
              <w:keepNext/>
              <w:snapToGrid w:val="0"/>
              <w:spacing w:before="120" w:after="120" w:line="240" w:lineRule="auto"/>
              <w:ind w:left="0" w:leftChars="0" w:right="0" w:rightChars="0" w:firstLine="0" w:firstLineChars="0"/>
              <w:jc w:val="center"/>
              <w:rPr>
                <w:rFonts w:ascii="Arial" w:eastAsia="等线"/>
                <w:sz w:val="22"/>
              </w:rPr>
            </w:pPr>
          </w:p>
        </w:tc>
      </w:tr>
      <w:tr w14:paraId="447D299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311" w:type="dxa"/>
            <w:tcBorders>
              <w:bottom w:val="single" w:color="auto" w:sz="4" w:space="0"/>
            </w:tcBorders>
            <w:tcMar>
              <w:top w:w="60" w:type="dxa"/>
              <w:left w:w="120" w:type="dxa"/>
              <w:bottom w:w="30" w:type="dxa"/>
              <w:right w:w="120" w:type="dxa"/>
            </w:tcMar>
            <w:vAlign w:val="center"/>
          </w:tcPr>
          <w:p w14:paraId="35A1B493">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V. Referral Risk Prevention (5 points)</w:t>
            </w:r>
            <w:r>
              <w:rPr>
                <w:rFonts w:ascii="Arial" w:hAnsi="Arial" w:eastAsia="等线" w:cs="Arial"/>
                <w:sz w:val="22"/>
              </w:rPr>
              <w:t>(Core: Ability to identify potential risks in the referral process and take corresponding preventive measures)</w:t>
            </w:r>
          </w:p>
        </w:tc>
        <w:tc>
          <w:tcPr>
            <w:tcW w:w="1327" w:type="dxa"/>
            <w:tcBorders>
              <w:bottom w:val="single" w:color="auto" w:sz="4" w:space="0"/>
            </w:tcBorders>
            <w:tcMar>
              <w:top w:w="60" w:type="dxa"/>
              <w:left w:w="120" w:type="dxa"/>
              <w:bottom w:w="30" w:type="dxa"/>
              <w:right w:w="120" w:type="dxa"/>
            </w:tcMar>
            <w:vAlign w:val="center"/>
          </w:tcPr>
          <w:p w14:paraId="4CE82470">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5</w:t>
            </w:r>
          </w:p>
        </w:tc>
        <w:tc>
          <w:tcPr>
            <w:tcW w:w="2474" w:type="dxa"/>
            <w:tcBorders>
              <w:bottom w:val="single" w:color="auto" w:sz="4" w:space="0"/>
            </w:tcBorders>
            <w:tcMar>
              <w:top w:w="60" w:type="dxa"/>
              <w:left w:w="120" w:type="dxa"/>
              <w:bottom w:w="30" w:type="dxa"/>
              <w:right w:w="120" w:type="dxa"/>
            </w:tcMar>
            <w:vAlign w:val="center"/>
          </w:tcPr>
          <w:p w14:paraId="3EA91F54">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0-1 point: Unable to identify potential referral risks, no corresponding preventive measures; 2 points: Can identify a small number of obvious referral risks, but no clear preventive measures; 3 points: Can identify main potential referral risks and propose basic preventive measures; 4 points: Can comprehensively identify potential referral risks and formulate specific preventive measures; 5 points: Can systematically identify potential referral risks, formulate scientific and targeted preventive measures, and effectively avoid adverse events in the referral process.</w:t>
            </w:r>
          </w:p>
        </w:tc>
        <w:tc>
          <w:tcPr>
            <w:tcW w:w="848" w:type="dxa"/>
            <w:tcBorders>
              <w:bottom w:val="single" w:color="auto" w:sz="4" w:space="0"/>
            </w:tcBorders>
            <w:tcMar>
              <w:top w:w="60" w:type="dxa"/>
              <w:left w:w="120" w:type="dxa"/>
              <w:bottom w:w="30" w:type="dxa"/>
              <w:right w:w="120" w:type="dxa"/>
            </w:tcMar>
            <w:vAlign w:val="center"/>
          </w:tcPr>
          <w:p w14:paraId="2DEC72B8">
            <w:pPr>
              <w:keepNext/>
              <w:snapToGrid w:val="0"/>
              <w:spacing w:before="120" w:after="120" w:line="240" w:lineRule="auto"/>
              <w:ind w:left="0" w:leftChars="0" w:right="0" w:rightChars="0" w:firstLine="0" w:firstLineChars="0"/>
              <w:jc w:val="center"/>
              <w:rPr>
                <w:rFonts w:ascii="Arial" w:eastAsia="等线"/>
                <w:sz w:val="22"/>
              </w:rPr>
            </w:pPr>
          </w:p>
        </w:tc>
        <w:tc>
          <w:tcPr>
            <w:tcW w:w="1564" w:type="dxa"/>
            <w:tcBorders>
              <w:bottom w:val="single" w:color="auto" w:sz="4" w:space="0"/>
            </w:tcBorders>
            <w:tcMar>
              <w:top w:w="60" w:type="dxa"/>
              <w:left w:w="120" w:type="dxa"/>
              <w:bottom w:w="30" w:type="dxa"/>
              <w:right w:w="120" w:type="dxa"/>
            </w:tcMar>
            <w:vAlign w:val="center"/>
          </w:tcPr>
          <w:p w14:paraId="0B46B9FA">
            <w:pPr>
              <w:keepNext/>
              <w:snapToGrid w:val="0"/>
              <w:spacing w:before="120" w:after="120" w:line="240" w:lineRule="auto"/>
              <w:ind w:left="0" w:leftChars="0" w:right="0" w:rightChars="0" w:firstLine="0" w:firstLineChars="0"/>
              <w:jc w:val="center"/>
              <w:rPr>
                <w:rFonts w:ascii="Arial" w:eastAsia="等线"/>
                <w:sz w:val="22"/>
              </w:rPr>
            </w:pPr>
          </w:p>
        </w:tc>
      </w:tr>
    </w:tbl>
    <w:p w14:paraId="12B13C8E">
      <w:pPr>
        <w:spacing w:before="120" w:after="120" w:line="288" w:lineRule="auto"/>
        <w:ind w:left="0"/>
        <w:jc w:val="left"/>
      </w:pPr>
      <w:r>
        <w:rPr>
          <w:rFonts w:ascii="Arial" w:hAnsi="Arial" w:eastAsia="等线" w:cs="Arial"/>
          <w:b/>
          <w:sz w:val="22"/>
        </w:rPr>
        <w:t>Total Score Statistics</w:t>
      </w:r>
      <w:r>
        <w:rPr>
          <w:rFonts w:ascii="Arial" w:hAnsi="Arial" w:eastAsia="等线" w:cs="Arial"/>
          <w:sz w:val="22"/>
        </w:rPr>
        <w:t>: __________ points (Full score: 100 points)</w:t>
      </w:r>
    </w:p>
    <w:p w14:paraId="131E117A">
      <w:pPr>
        <w:spacing w:before="120" w:after="120" w:line="288" w:lineRule="auto"/>
        <w:ind w:left="0"/>
        <w:jc w:val="left"/>
      </w:pPr>
      <w:r>
        <w:rPr>
          <w:rFonts w:ascii="Arial" w:hAnsi="Arial" w:eastAsia="等线" w:cs="Arial"/>
          <w:b/>
          <w:sz w:val="22"/>
        </w:rPr>
        <w:t>Ability Level Judgment</w:t>
      </w:r>
      <w:r>
        <w:rPr>
          <w:rFonts w:ascii="Arial" w:hAnsi="Arial" w:eastAsia="等线" w:cs="Arial"/>
          <w:sz w:val="22"/>
        </w:rPr>
        <w:t>: 0-59 points (Weak); 60-79 points (Medium); 80-100 points (Excellent)</w:t>
      </w:r>
    </w:p>
    <w:p w14:paraId="72DBFC81">
      <w:pPr>
        <w:spacing w:before="120" w:after="120" w:line="288" w:lineRule="auto"/>
        <w:ind w:left="0"/>
        <w:jc w:val="left"/>
      </w:pPr>
      <w:r>
        <w:rPr>
          <w:rFonts w:ascii="Arial" w:hAnsi="Arial" w:eastAsia="等线" w:cs="Arial"/>
          <w:b/>
          <w:sz w:val="22"/>
        </w:rPr>
        <w:t>Rater's Signature</w:t>
      </w:r>
      <w:r>
        <w:rPr>
          <w:rFonts w:ascii="Arial" w:hAnsi="Arial" w:eastAsia="等线" w:cs="Arial"/>
          <w:sz w:val="22"/>
        </w:rPr>
        <w:t xml:space="preserve">: __________  </w:t>
      </w:r>
      <w:r>
        <w:rPr>
          <w:rFonts w:ascii="Arial" w:hAnsi="Arial" w:eastAsia="等线" w:cs="Arial"/>
          <w:b/>
          <w:sz w:val="22"/>
        </w:rPr>
        <w:t>Scoring Date</w:t>
      </w:r>
      <w:r>
        <w:rPr>
          <w:rFonts w:ascii="Arial" w:hAnsi="Arial" w:eastAsia="等线" w:cs="Arial"/>
          <w:sz w:val="22"/>
        </w:rPr>
        <w:t>: __________</w:t>
      </w:r>
    </w:p>
    <w:p w14:paraId="33F0D8D4">
      <w:pPr>
        <w:spacing w:before="120" w:after="120" w:line="288" w:lineRule="auto"/>
        <w:ind w:left="0"/>
        <w:jc w:val="left"/>
      </w:pPr>
    </w:p>
    <w:p w14:paraId="29303972">
      <w:pPr>
        <w:spacing w:before="120" w:after="120" w:line="288" w:lineRule="auto"/>
        <w:ind w:left="0"/>
        <w:jc w:val="left"/>
      </w:pPr>
      <w:bookmarkStart w:id="0" w:name="_GoBack"/>
      <w:bookmarkEnd w:id="0"/>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E336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C598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41E14F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958</Words>
  <Characters>6296</Characters>
  <TotalTime>0</TotalTime>
  <ScaleCrop>false</ScaleCrop>
  <LinksUpToDate>false</LinksUpToDate>
  <CharactersWithSpaces>7213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2026-03-05T03:41:00Z</dcterms:created>
  <dc:creator>Apache POI</dc:creator>
  <cp:lastModifiedBy>邓玮</cp:lastModifiedBy>
  <dcterms:modified xsi:type="dcterms:W3CDTF">2026-03-05T03:47:55Z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eyJoZGlkIjoiYWVmMmQ2YTc3ZjgxMzNiMTc1ZGVmMGU3NTliYTkyYWUiLCJ1c2VySWQiOiIzMjE1NTg5OTUifQ==</vt:lpwstr>
  </property>
  <property fmtid="{D5CDD505-2E9C-101B-9397-08002B2CF9AE}" pid="3" name="KSOProductBuildVer">
    <vt:lpwstr>2052-12.1.0.24657</vt:lpwstr>
  </property>
  <property fmtid="{D5CDD505-2E9C-101B-9397-08002B2CF9AE}" pid="4" name="ICV">
    <vt:lpwstr>9FA2730AEC79453EBBE98A71134C8F9A_12</vt:lpwstr>
  </property>
</Properties>
</file>